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274F" w14:textId="6F9396EE" w:rsidR="00741EB9" w:rsidRPr="00741EB9" w:rsidRDefault="00741EB9" w:rsidP="00B34492">
      <w:pPr>
        <w:spacing w:before="100" w:beforeAutospacing="1" w:after="100" w:afterAutospacing="1" w:line="240" w:lineRule="auto"/>
        <w:jc w:val="right"/>
        <w:outlineLvl w:val="0"/>
        <w:rPr>
          <w:rFonts w:ascii="Helvetica" w:eastAsia="Times New Roman" w:hAnsi="Helvetica" w:cs="Times New Roman"/>
          <w:color w:val="009E9E"/>
          <w:kern w:val="36"/>
          <w:sz w:val="20"/>
          <w:szCs w:val="20"/>
          <w:lang w:eastAsia="de-DE"/>
          <w14:ligatures w14:val="none"/>
        </w:rPr>
      </w:pPr>
      <w:r>
        <w:rPr>
          <w:rFonts w:ascii="Helvetica" w:eastAsia="Times New Roman" w:hAnsi="Helvetica" w:cs="Times New Roman"/>
          <w:color w:val="009E9E"/>
          <w:kern w:val="36"/>
          <w:sz w:val="20"/>
          <w:szCs w:val="20"/>
          <w:lang w:eastAsia="de-DE"/>
          <w14:ligatures w14:val="none"/>
        </w:rPr>
        <w:t>Version</w:t>
      </w:r>
      <w:r w:rsidR="00B34492">
        <w:rPr>
          <w:rFonts w:ascii="Helvetica" w:eastAsia="Times New Roman" w:hAnsi="Helvetica" w:cs="Times New Roman"/>
          <w:color w:val="009E9E"/>
          <w:kern w:val="36"/>
          <w:sz w:val="20"/>
          <w:szCs w:val="20"/>
          <w:lang w:eastAsia="de-DE"/>
          <w14:ligatures w14:val="none"/>
        </w:rPr>
        <w:t xml:space="preserve"> 28.4.2026</w:t>
      </w:r>
    </w:p>
    <w:p w14:paraId="0302A96F" w14:textId="42FC3334" w:rsidR="006D7DC4" w:rsidRPr="00352C88" w:rsidRDefault="006D7DC4" w:rsidP="00352C88">
      <w:pPr>
        <w:spacing w:before="100" w:beforeAutospacing="1" w:after="100" w:afterAutospacing="1" w:line="240" w:lineRule="auto"/>
        <w:outlineLvl w:val="0"/>
        <w:rPr>
          <w:rFonts w:ascii="Helvetica" w:eastAsia="Times New Roman" w:hAnsi="Helvetica" w:cs="Times New Roman"/>
          <w:color w:val="009E9E"/>
          <w:kern w:val="36"/>
          <w:sz w:val="48"/>
          <w:szCs w:val="48"/>
          <w:lang w:eastAsia="de-DE"/>
          <w14:ligatures w14:val="none"/>
        </w:rPr>
      </w:pPr>
      <w:r w:rsidRPr="00352C88">
        <w:rPr>
          <w:rFonts w:ascii="Helvetica" w:eastAsia="Times New Roman" w:hAnsi="Helvetica" w:cs="Times New Roman"/>
          <w:color w:val="009E9E"/>
          <w:kern w:val="36"/>
          <w:sz w:val="48"/>
          <w:szCs w:val="48"/>
          <w:lang w:eastAsia="de-DE"/>
          <w14:ligatures w14:val="none"/>
        </w:rPr>
        <w:t xml:space="preserve">PRAEVENIRE </w:t>
      </w:r>
    </w:p>
    <w:p w14:paraId="182AAA05" w14:textId="77777777" w:rsidR="006D7DC4" w:rsidRPr="00352C88" w:rsidRDefault="006D7DC4" w:rsidP="00352C88">
      <w:pPr>
        <w:spacing w:before="100" w:beforeAutospacing="1" w:after="100" w:afterAutospacing="1" w:line="240" w:lineRule="auto"/>
        <w:outlineLvl w:val="1"/>
        <w:rPr>
          <w:rFonts w:ascii="Helvetica" w:eastAsia="Times New Roman" w:hAnsi="Helvetica" w:cs="Times New Roman"/>
          <w:color w:val="009E9E"/>
          <w:kern w:val="0"/>
          <w:sz w:val="36"/>
          <w:szCs w:val="36"/>
          <w:lang w:eastAsia="de-DE"/>
          <w14:ligatures w14:val="none"/>
        </w:rPr>
      </w:pPr>
      <w:r w:rsidRPr="00352C88">
        <w:rPr>
          <w:rFonts w:ascii="Helvetica" w:eastAsia="Times New Roman" w:hAnsi="Helvetica" w:cs="Times New Roman"/>
          <w:color w:val="009E9E"/>
          <w:kern w:val="0"/>
          <w:sz w:val="36"/>
          <w:szCs w:val="36"/>
          <w:lang w:eastAsia="de-DE"/>
          <w14:ligatures w14:val="none"/>
        </w:rPr>
        <w:t>PETITION ZUR FRAUENGESUNDHEIT 2030</w:t>
      </w:r>
    </w:p>
    <w:p w14:paraId="352D9ABA" w14:textId="485589F1" w:rsidR="00352C88" w:rsidRPr="00352C88" w:rsidRDefault="00352C88" w:rsidP="00352C88">
      <w:pPr>
        <w:spacing w:before="100" w:beforeAutospacing="1" w:after="100" w:afterAutospacing="1" w:line="240" w:lineRule="auto"/>
        <w:outlineLvl w:val="2"/>
        <w:rPr>
          <w:rFonts w:ascii="Helvetica" w:eastAsia="Times New Roman" w:hAnsi="Helvetica" w:cs="Times New Roman"/>
          <w:color w:val="009E9E"/>
          <w:kern w:val="0"/>
          <w:sz w:val="27"/>
          <w:szCs w:val="27"/>
          <w:lang w:eastAsia="de-DE"/>
          <w14:ligatures w14:val="none"/>
        </w:rPr>
      </w:pPr>
      <w:r w:rsidRPr="00352C88">
        <w:rPr>
          <w:rFonts w:ascii="Helvetica" w:eastAsia="Times New Roman" w:hAnsi="Helvetica" w:cs="Times New Roman"/>
          <w:b/>
          <w:bCs/>
          <w:color w:val="009E9E"/>
          <w:kern w:val="0"/>
          <w:sz w:val="27"/>
          <w:szCs w:val="27"/>
          <w:lang w:eastAsia="de-DE"/>
          <w14:ligatures w14:val="none"/>
        </w:rPr>
        <w:t>FOKUS WECHSELJAHRE</w:t>
      </w:r>
      <w:r>
        <w:rPr>
          <w:rFonts w:ascii="Helvetica" w:eastAsia="Times New Roman" w:hAnsi="Helvetica" w:cs="Times New Roman"/>
          <w:color w:val="009E9E"/>
          <w:kern w:val="0"/>
          <w:sz w:val="27"/>
          <w:szCs w:val="27"/>
          <w:lang w:eastAsia="de-DE"/>
          <w14:ligatures w14:val="none"/>
        </w:rPr>
        <w:t xml:space="preserve"> – </w:t>
      </w:r>
      <w:r w:rsidRPr="00352C88">
        <w:rPr>
          <w:rFonts w:ascii="Helvetica" w:eastAsia="Times New Roman" w:hAnsi="Helvetica" w:cs="Times New Roman"/>
          <w:color w:val="009E9E"/>
          <w:kern w:val="0"/>
          <w:sz w:val="27"/>
          <w:szCs w:val="27"/>
          <w:lang w:val="de-DE" w:eastAsia="de-DE"/>
          <w14:ligatures w14:val="none"/>
        </w:rPr>
        <w:t>Früherkennung stärken, Versorgung verbessern</w:t>
      </w:r>
    </w:p>
    <w:p w14:paraId="5CDCF9A3" w14:textId="77777777" w:rsidR="00352C88" w:rsidRDefault="00352C88" w:rsidP="00352C88">
      <w:pPr>
        <w:spacing w:before="100" w:beforeAutospacing="1" w:after="100" w:afterAutospacing="1" w:line="276" w:lineRule="auto"/>
        <w:outlineLvl w:val="1"/>
        <w:rPr>
          <w:rFonts w:ascii="Helvetica" w:eastAsia="Times New Roman" w:hAnsi="Helvetica" w:cs="Times New Roman"/>
          <w:b/>
          <w:bCs/>
          <w:kern w:val="0"/>
          <w:sz w:val="36"/>
          <w:szCs w:val="36"/>
          <w:lang w:eastAsia="de-DE"/>
          <w14:ligatures w14:val="none"/>
        </w:rPr>
      </w:pPr>
    </w:p>
    <w:p w14:paraId="6496547B" w14:textId="60BA0EF7" w:rsidR="006D7DC4" w:rsidRPr="00054FB2" w:rsidRDefault="006D7DC4" w:rsidP="00352C88">
      <w:pPr>
        <w:spacing w:before="100" w:beforeAutospacing="1" w:after="100" w:afterAutospacing="1" w:line="276" w:lineRule="auto"/>
        <w:outlineLvl w:val="1"/>
        <w:rPr>
          <w:rFonts w:ascii="Helvetica" w:eastAsia="Times New Roman" w:hAnsi="Helvetica" w:cs="Times New Roman"/>
          <w:color w:val="009E9E"/>
          <w:kern w:val="0"/>
          <w:sz w:val="32"/>
          <w:szCs w:val="32"/>
          <w:lang w:eastAsia="de-DE"/>
          <w14:ligatures w14:val="none"/>
        </w:rPr>
      </w:pPr>
      <w:r w:rsidRPr="00054FB2">
        <w:rPr>
          <w:rFonts w:ascii="Helvetica" w:eastAsia="Times New Roman" w:hAnsi="Helvetica" w:cs="Times New Roman"/>
          <w:color w:val="009E9E"/>
          <w:kern w:val="0"/>
          <w:sz w:val="32"/>
          <w:szCs w:val="32"/>
          <w:lang w:eastAsia="de-DE"/>
          <w14:ligatures w14:val="none"/>
        </w:rPr>
        <w:t>PRÄAMBEL</w:t>
      </w:r>
    </w:p>
    <w:p w14:paraId="7633D4D6" w14:textId="32A20789" w:rsidR="006D7DC4"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 xml:space="preserve">Das PRAEVENIRE Gesundheitsforum steht seit seinen Anfängen für die Stärkung präventiver Ansätze im Gesundheitssystem und für eine Abkehr von einer rein reaktiven Reparaturmedizin. </w:t>
      </w:r>
      <w:r w:rsidR="00AF1B28">
        <w:rPr>
          <w:rFonts w:ascii="Helvetica" w:eastAsia="Times New Roman" w:hAnsi="Helvetica" w:cs="Times New Roman"/>
          <w:kern w:val="0"/>
          <w:lang w:eastAsia="de-DE"/>
          <w14:ligatures w14:val="none"/>
        </w:rPr>
        <w:t>Die PRAEVENIRE Initiative Frauengesundheit 2030 setzt ein starkes Zeichen für die Zukunft der Gesundheitsversorgung von Frauen in Österreich. Unter der Ägide von Bundesministerin Korinna Schumann werden zentrale Themen in den Mittelpunkt gestellt, die für die Lebensqualität von Millionen Frauen entscheidend sind, bisher jedoch in Politik</w:t>
      </w:r>
      <w:r w:rsidR="00741EB9">
        <w:rPr>
          <w:rFonts w:ascii="Helvetica" w:eastAsia="Times New Roman" w:hAnsi="Helvetica" w:cs="Times New Roman"/>
          <w:kern w:val="0"/>
          <w:lang w:eastAsia="de-DE"/>
          <w14:ligatures w14:val="none"/>
        </w:rPr>
        <w:t>,</w:t>
      </w:r>
      <w:r w:rsidR="00AF1B28">
        <w:rPr>
          <w:rFonts w:ascii="Helvetica" w:eastAsia="Times New Roman" w:hAnsi="Helvetica" w:cs="Times New Roman"/>
          <w:kern w:val="0"/>
          <w:lang w:eastAsia="de-DE"/>
          <w14:ligatures w14:val="none"/>
        </w:rPr>
        <w:t xml:space="preserve"> Gesellschaft und Medizin häufig zu wenig Bedeutung finden. </w:t>
      </w:r>
    </w:p>
    <w:p w14:paraId="23D485AC" w14:textId="736A8815" w:rsidR="00AF1B28"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 xml:space="preserve">Ein Blick in die Realität zeigt deutlich: Frauen sind im Gesundheitswesen nach wie vor </w:t>
      </w:r>
      <w:r w:rsidR="00AF1B28">
        <w:rPr>
          <w:rFonts w:ascii="Helvetica" w:eastAsia="Times New Roman" w:hAnsi="Helvetica" w:cs="Times New Roman"/>
          <w:kern w:val="0"/>
          <w:lang w:eastAsia="de-DE"/>
          <w14:ligatures w14:val="none"/>
        </w:rPr>
        <w:t>schlechter versorgt als Männer</w:t>
      </w:r>
      <w:r w:rsidRPr="00352C88">
        <w:rPr>
          <w:rFonts w:ascii="Helvetica" w:eastAsia="Times New Roman" w:hAnsi="Helvetica" w:cs="Times New Roman"/>
          <w:kern w:val="0"/>
          <w:lang w:eastAsia="de-DE"/>
          <w14:ligatures w14:val="none"/>
        </w:rPr>
        <w:t>.</w:t>
      </w:r>
      <w:r w:rsidR="00AF1B28">
        <w:rPr>
          <w:rFonts w:ascii="Helvetica" w:eastAsia="Times New Roman" w:hAnsi="Helvetica" w:cs="Times New Roman"/>
          <w:kern w:val="0"/>
          <w:lang w:eastAsia="de-DE"/>
          <w14:ligatures w14:val="none"/>
        </w:rPr>
        <w:t xml:space="preserve"> Das liegt vor allem daran, dass sich Wissenschaft und Forschung jahrzehntelang stark an männlichen Standards orientiert haben. </w:t>
      </w:r>
      <w:r w:rsidRPr="00352C88">
        <w:rPr>
          <w:rFonts w:ascii="Helvetica" w:eastAsia="Times New Roman" w:hAnsi="Helvetica" w:cs="Times New Roman"/>
          <w:kern w:val="0"/>
          <w:lang w:eastAsia="de-DE"/>
          <w14:ligatures w14:val="none"/>
        </w:rPr>
        <w:t>Frauen zeigen jedoch oft andere Symptome, erleben Erkrankungen anders und benötigen eine spezifische medizinische Betreuung. Besonders sichtbar wird dieses Defizit in einem Lebensabschnitt, der jede Frau betrifft – und dennoch häufig tabuisiert oder unzureichend beachtet wird:</w:t>
      </w:r>
      <w:r w:rsidR="00AF1B28">
        <w:rPr>
          <w:rFonts w:ascii="Helvetica" w:eastAsia="Times New Roman" w:hAnsi="Helvetica" w:cs="Times New Roman"/>
          <w:kern w:val="0"/>
          <w:lang w:eastAsia="de-DE"/>
          <w14:ligatures w14:val="none"/>
        </w:rPr>
        <w:t xml:space="preserve"> </w:t>
      </w:r>
      <w:r w:rsidRPr="00AF1B28">
        <w:rPr>
          <w:rFonts w:ascii="Helvetica" w:eastAsia="Times New Roman" w:hAnsi="Helvetica" w:cs="Times New Roman"/>
          <w:b/>
          <w:bCs/>
          <w:kern w:val="0"/>
          <w:lang w:eastAsia="de-DE"/>
          <w14:ligatures w14:val="none"/>
        </w:rPr>
        <w:t>die Wechseljahre.</w:t>
      </w:r>
      <w:r w:rsidR="00AF1B28">
        <w:rPr>
          <w:rFonts w:ascii="Helvetica" w:eastAsia="Times New Roman" w:hAnsi="Helvetica" w:cs="Times New Roman"/>
          <w:kern w:val="0"/>
          <w:lang w:eastAsia="de-DE"/>
          <w14:ligatures w14:val="none"/>
        </w:rPr>
        <w:t xml:space="preserve"> Ein besonderer Fokus der Initiative liegt daher auf den Wechseljahren – </w:t>
      </w:r>
      <w:r w:rsidR="00AF1B28" w:rsidRPr="00AF1B28">
        <w:rPr>
          <w:rFonts w:ascii="Helvetica" w:eastAsia="Times New Roman" w:hAnsi="Helvetica" w:cs="Times New Roman"/>
          <w:b/>
          <w:bCs/>
          <w:kern w:val="0"/>
          <w:lang w:eastAsia="de-DE"/>
          <w14:ligatures w14:val="none"/>
        </w:rPr>
        <w:t>einer Lebensphase, die jede Frau betrifft und doch noch immer von Tabus und Unwissen geprägt ist.</w:t>
      </w:r>
      <w:r w:rsidR="00AF1B28">
        <w:rPr>
          <w:rFonts w:ascii="Helvetica" w:eastAsia="Times New Roman" w:hAnsi="Helvetica" w:cs="Times New Roman"/>
          <w:kern w:val="0"/>
          <w:lang w:eastAsia="de-DE"/>
          <w14:ligatures w14:val="none"/>
        </w:rPr>
        <w:t xml:space="preserve"> </w:t>
      </w:r>
    </w:p>
    <w:p w14:paraId="252FE257" w14:textId="77777777" w:rsidR="00AF1B28" w:rsidRDefault="00AF1B28" w:rsidP="00AF1B28">
      <w:pPr>
        <w:spacing w:before="100" w:beforeAutospacing="1" w:after="100" w:afterAutospacing="1" w:line="276" w:lineRule="auto"/>
        <w:rPr>
          <w:rFonts w:ascii="Helvetica" w:eastAsia="Times New Roman" w:hAnsi="Helvetica" w:cs="Times New Roman"/>
          <w:kern w:val="0"/>
          <w:lang w:val="de-DE" w:eastAsia="de-DE"/>
          <w14:ligatures w14:val="none"/>
        </w:rPr>
      </w:pPr>
      <w:r>
        <w:rPr>
          <w:rFonts w:ascii="Helvetica" w:eastAsia="Times New Roman" w:hAnsi="Helvetica" w:cs="Times New Roman"/>
          <w:kern w:val="0"/>
          <w:lang w:eastAsia="de-DE"/>
          <w14:ligatures w14:val="none"/>
        </w:rPr>
        <w:t xml:space="preserve">Ein </w:t>
      </w:r>
      <w:r w:rsidR="006D7DC4" w:rsidRPr="00352C88">
        <w:rPr>
          <w:rFonts w:ascii="Helvetica" w:eastAsia="Times New Roman" w:hAnsi="Helvetica" w:cs="Times New Roman"/>
          <w:kern w:val="0"/>
          <w:lang w:eastAsia="de-DE"/>
          <w14:ligatures w14:val="none"/>
        </w:rPr>
        <w:t xml:space="preserve">Die Wechseljahre sind ein natürlicher, aber tiefgreifender biologischer und psychosozialer Übergang. Bereits Jahre vor der Menopause – in der </w:t>
      </w:r>
      <w:proofErr w:type="spellStart"/>
      <w:r w:rsidR="006D7DC4" w:rsidRPr="00352C88">
        <w:rPr>
          <w:rFonts w:ascii="Helvetica" w:eastAsia="Times New Roman" w:hAnsi="Helvetica" w:cs="Times New Roman"/>
          <w:kern w:val="0"/>
          <w:lang w:eastAsia="de-DE"/>
          <w14:ligatures w14:val="none"/>
        </w:rPr>
        <w:t>Perimenopause</w:t>
      </w:r>
      <w:proofErr w:type="spellEnd"/>
      <w:r w:rsidR="006D7DC4" w:rsidRPr="00352C88">
        <w:rPr>
          <w:rFonts w:ascii="Helvetica" w:eastAsia="Times New Roman" w:hAnsi="Helvetica" w:cs="Times New Roman"/>
          <w:kern w:val="0"/>
          <w:lang w:eastAsia="de-DE"/>
          <w14:ligatures w14:val="none"/>
        </w:rPr>
        <w:t xml:space="preserve"> – treten erste hormonelle Veränderungen auf. </w:t>
      </w:r>
      <w:r w:rsidRPr="00AF1B28">
        <w:rPr>
          <w:rFonts w:ascii="Helvetica" w:eastAsia="Times New Roman" w:hAnsi="Helvetica" w:cs="Times New Roman"/>
          <w:kern w:val="0"/>
          <w:lang w:val="de-DE" w:eastAsia="de-DE"/>
          <w14:ligatures w14:val="none"/>
        </w:rPr>
        <w:t>Sie beeinflussen nicht nur das persönliche Wohlbefinden, sondern</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auch die Teilhabe am Arbeitsleben, die familiäre Rolle und die langfristige Gesundheit. Während bei manchen</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Frauen der Hormonabfall langsam und schrittweise erfolgt – und daher kaum Beschwerden verursacht – erleben</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andere einen steileren Hormonabfall, der mit massiven Symptomen verbunden ist und ein deutlich höheres Risiko</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 xml:space="preserve">für Folgeerkrankungen birgt. Für diese Frauen ist die </w:t>
      </w:r>
      <w:r w:rsidRPr="00AF1B28">
        <w:rPr>
          <w:rFonts w:ascii="Helvetica" w:eastAsia="Times New Roman" w:hAnsi="Helvetica" w:cs="Times New Roman"/>
          <w:b/>
          <w:bCs/>
          <w:kern w:val="0"/>
          <w:lang w:val="de-DE" w:eastAsia="de-DE"/>
          <w14:ligatures w14:val="none"/>
        </w:rPr>
        <w:t>Früherkennung die einzige Chance,</w:t>
      </w:r>
      <w:r w:rsidRPr="00AF1B28">
        <w:rPr>
          <w:rFonts w:ascii="Helvetica" w:eastAsia="Times New Roman" w:hAnsi="Helvetica" w:cs="Times New Roman"/>
          <w:kern w:val="0"/>
          <w:lang w:val="de-DE" w:eastAsia="de-DE"/>
          <w14:ligatures w14:val="none"/>
        </w:rPr>
        <w:t xml:space="preserve"> rechtzeitig gegenzusteuern</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und gesundheitliche Belastungen sowie Spätfolgen zu vermeiden.</w:t>
      </w:r>
    </w:p>
    <w:p w14:paraId="12C5D3DB" w14:textId="77777777" w:rsidR="00AF1B28" w:rsidRDefault="00AF1B28">
      <w:pPr>
        <w:rPr>
          <w:rFonts w:ascii="Helvetica" w:eastAsia="Times New Roman" w:hAnsi="Helvetica" w:cs="Times New Roman"/>
          <w:kern w:val="0"/>
          <w:lang w:val="de-DE" w:eastAsia="de-DE"/>
          <w14:ligatures w14:val="none"/>
        </w:rPr>
      </w:pPr>
      <w:r>
        <w:rPr>
          <w:rFonts w:ascii="Helvetica" w:eastAsia="Times New Roman" w:hAnsi="Helvetica" w:cs="Times New Roman"/>
          <w:kern w:val="0"/>
          <w:lang w:val="de-DE" w:eastAsia="de-DE"/>
          <w14:ligatures w14:val="none"/>
        </w:rPr>
        <w:br w:type="page"/>
      </w:r>
    </w:p>
    <w:p w14:paraId="745DBC34" w14:textId="77777777" w:rsidR="00AF1B28" w:rsidRDefault="00AF1B28" w:rsidP="00AF1B28">
      <w:pPr>
        <w:spacing w:before="100" w:beforeAutospacing="1" w:after="100" w:afterAutospacing="1" w:line="276" w:lineRule="auto"/>
        <w:rPr>
          <w:rFonts w:ascii="Helvetica" w:eastAsia="Times New Roman" w:hAnsi="Helvetica" w:cs="Times New Roman"/>
          <w:kern w:val="0"/>
          <w:lang w:val="de-DE" w:eastAsia="de-DE"/>
          <w14:ligatures w14:val="none"/>
        </w:rPr>
      </w:pPr>
    </w:p>
    <w:p w14:paraId="728AB409" w14:textId="455DED19" w:rsidR="00AF1B28" w:rsidRDefault="00AF1B28" w:rsidP="00AF1B28">
      <w:pPr>
        <w:spacing w:before="100" w:beforeAutospacing="1" w:after="100" w:afterAutospacing="1" w:line="276" w:lineRule="auto"/>
        <w:rPr>
          <w:rFonts w:ascii="Helvetica" w:eastAsia="Times New Roman" w:hAnsi="Helvetica" w:cs="Times New Roman"/>
          <w:kern w:val="0"/>
          <w:lang w:val="de-DE" w:eastAsia="de-DE"/>
          <w14:ligatures w14:val="none"/>
        </w:rPr>
      </w:pPr>
      <w:r w:rsidRPr="00AF1B28">
        <w:rPr>
          <w:rFonts w:ascii="Helvetica" w:eastAsia="Times New Roman" w:hAnsi="Helvetica" w:cs="Times New Roman"/>
          <w:kern w:val="0"/>
          <w:lang w:val="de-DE" w:eastAsia="de-DE"/>
          <w14:ligatures w14:val="none"/>
        </w:rPr>
        <w:t>Von zentraler Bedeutung ist dabei die frühe Erkennung und die gezielte medizinische Abklärung der Wechseljahre.</w:t>
      </w:r>
      <w:r>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b/>
          <w:bCs/>
          <w:kern w:val="0"/>
          <w:lang w:val="de-DE" w:eastAsia="de-DE"/>
          <w14:ligatures w14:val="none"/>
        </w:rPr>
        <w:t>Erste Symptome</w:t>
      </w:r>
      <w:r w:rsidRPr="00AF1B28">
        <w:rPr>
          <w:rFonts w:ascii="Helvetica" w:eastAsia="Times New Roman" w:hAnsi="Helvetica" w:cs="Times New Roman"/>
          <w:kern w:val="0"/>
          <w:lang w:val="de-DE" w:eastAsia="de-DE"/>
          <w14:ligatures w14:val="none"/>
        </w:rPr>
        <w:t xml:space="preserve"> wie Schlafstörungen, seelische Verstimmungen oder unerklärliche Gewichtszunahme</w:t>
      </w:r>
      <w:r w:rsidR="00054FB2">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 xml:space="preserve">werden </w:t>
      </w:r>
      <w:r w:rsidRPr="00AF1B28">
        <w:rPr>
          <w:rFonts w:ascii="Helvetica" w:eastAsia="Times New Roman" w:hAnsi="Helvetica" w:cs="Times New Roman"/>
          <w:b/>
          <w:bCs/>
          <w:kern w:val="0"/>
          <w:lang w:val="de-DE" w:eastAsia="de-DE"/>
          <w14:ligatures w14:val="none"/>
        </w:rPr>
        <w:t>oft nicht ernst genommen</w:t>
      </w:r>
      <w:r w:rsidRPr="00AF1B28">
        <w:rPr>
          <w:rFonts w:ascii="Helvetica" w:eastAsia="Times New Roman" w:hAnsi="Helvetica" w:cs="Times New Roman"/>
          <w:kern w:val="0"/>
          <w:lang w:val="de-DE" w:eastAsia="de-DE"/>
          <w14:ligatures w14:val="none"/>
        </w:rPr>
        <w:t xml:space="preserve"> oder anderen Ursachen zugeschrieben. Erst in einem späteren Stadium treten</w:t>
      </w:r>
      <w:r w:rsidR="00054FB2">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schwerwiegendere Beschwerden wie Hitzewallungen, Schweißausbrüche, Haarverlust oder depressive Episoden</w:t>
      </w:r>
      <w:r w:rsidR="00054FB2">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auf. Durch eine rechtzeitige ärztliche Abklärung können jedoch nicht nur Fehldiagnosen und unnötiges Leiden</w:t>
      </w:r>
      <w:r w:rsidR="00054FB2">
        <w:rPr>
          <w:rFonts w:ascii="Helvetica" w:eastAsia="Times New Roman" w:hAnsi="Helvetica" w:cs="Times New Roman"/>
          <w:kern w:val="0"/>
          <w:lang w:val="de-DE" w:eastAsia="de-DE"/>
          <w14:ligatures w14:val="none"/>
        </w:rPr>
        <w:t xml:space="preserve"> </w:t>
      </w:r>
      <w:r w:rsidRPr="00AF1B28">
        <w:rPr>
          <w:rFonts w:ascii="Helvetica" w:eastAsia="Times New Roman" w:hAnsi="Helvetica" w:cs="Times New Roman"/>
          <w:kern w:val="0"/>
          <w:lang w:val="de-DE" w:eastAsia="de-DE"/>
          <w14:ligatures w14:val="none"/>
        </w:rPr>
        <w:t>vermieden, sondern auch langfristige Krankheitsfolgen wirksam reduziert werden.</w:t>
      </w:r>
    </w:p>
    <w:p w14:paraId="1818CBE9" w14:textId="0A537061" w:rsidR="00054FB2" w:rsidRPr="00352C88" w:rsidRDefault="00AF1B28"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 xml:space="preserve">Mit der </w:t>
      </w:r>
      <w:r w:rsidRPr="00054FB2">
        <w:rPr>
          <w:rFonts w:ascii="Helvetica" w:eastAsia="Times New Roman" w:hAnsi="Helvetica" w:cs="Times New Roman"/>
          <w:b/>
          <w:bCs/>
          <w:kern w:val="0"/>
          <w:lang w:eastAsia="de-DE"/>
          <w14:ligatures w14:val="none"/>
        </w:rPr>
        <w:t xml:space="preserve">Petition zur Frauengesundheit 2030 </w:t>
      </w:r>
      <w:r w:rsidR="00054FB2" w:rsidRPr="00054FB2">
        <w:rPr>
          <w:rFonts w:ascii="Helvetica" w:eastAsia="Times New Roman" w:hAnsi="Helvetica" w:cs="Times New Roman"/>
          <w:b/>
          <w:bCs/>
          <w:kern w:val="0"/>
          <w:lang w:eastAsia="de-DE"/>
          <w14:ligatures w14:val="none"/>
        </w:rPr>
        <w:t>– Fokus Wechseljahre,</w:t>
      </w:r>
      <w:r w:rsidR="00054FB2">
        <w:rPr>
          <w:rFonts w:ascii="Helvetica" w:eastAsia="Times New Roman" w:hAnsi="Helvetica" w:cs="Times New Roman"/>
          <w:kern w:val="0"/>
          <w:lang w:eastAsia="de-DE"/>
          <w14:ligatures w14:val="none"/>
        </w:rPr>
        <w:t xml:space="preserve"> </w:t>
      </w:r>
      <w:r w:rsidRPr="00352C88">
        <w:rPr>
          <w:rFonts w:ascii="Helvetica" w:eastAsia="Times New Roman" w:hAnsi="Helvetica" w:cs="Times New Roman"/>
          <w:kern w:val="0"/>
          <w:lang w:eastAsia="de-DE"/>
          <w14:ligatures w14:val="none"/>
        </w:rPr>
        <w:t xml:space="preserve">möchte </w:t>
      </w:r>
      <w:r w:rsidR="00054FB2">
        <w:rPr>
          <w:rFonts w:ascii="Helvetica" w:eastAsia="Times New Roman" w:hAnsi="Helvetica" w:cs="Times New Roman"/>
          <w:kern w:val="0"/>
          <w:lang w:eastAsia="de-DE"/>
          <w14:ligatures w14:val="none"/>
        </w:rPr>
        <w:t xml:space="preserve">der Verein PRAEVENIRE </w:t>
      </w:r>
      <w:r w:rsidR="00054FB2" w:rsidRPr="00054FB2">
        <w:rPr>
          <w:rFonts w:ascii="Helvetica" w:eastAsia="Times New Roman" w:hAnsi="Helvetica" w:cs="Times New Roman"/>
          <w:kern w:val="0"/>
          <w:lang w:eastAsia="de-DE"/>
          <w14:ligatures w14:val="none"/>
        </w:rPr>
        <w:t>die Wechseljahre als zentralen Bestandteil der Frauengesundheit stärker ins öffentliche und politische Bewusstsein rücken.</w:t>
      </w:r>
      <w:r w:rsidR="00054FB2">
        <w:rPr>
          <w:rFonts w:ascii="Helvetica" w:eastAsia="Times New Roman" w:hAnsi="Helvetica" w:cs="Times New Roman"/>
          <w:kern w:val="0"/>
          <w:lang w:eastAsia="de-DE"/>
          <w14:ligatures w14:val="none"/>
        </w:rPr>
        <w:t xml:space="preserve"> </w:t>
      </w:r>
      <w:proofErr w:type="spellStart"/>
      <w:r w:rsidR="00054FB2">
        <w:rPr>
          <w:rFonts w:ascii="Helvetica" w:eastAsia="Times New Roman" w:hAnsi="Helvetica" w:cs="Times New Roman"/>
          <w:kern w:val="0"/>
          <w:lang w:eastAsia="de-DE"/>
          <w14:ligatures w14:val="none"/>
        </w:rPr>
        <w:t>P</w:t>
      </w:r>
      <w:r w:rsidRPr="00352C88">
        <w:rPr>
          <w:rFonts w:ascii="Helvetica" w:eastAsia="Times New Roman" w:hAnsi="Helvetica" w:cs="Times New Roman"/>
          <w:kern w:val="0"/>
          <w:lang w:eastAsia="de-DE"/>
          <w14:ligatures w14:val="none"/>
        </w:rPr>
        <w:t>atientinnenorientiert</w:t>
      </w:r>
      <w:proofErr w:type="spellEnd"/>
      <w:r w:rsidR="00054FB2">
        <w:rPr>
          <w:rFonts w:ascii="Helvetica" w:eastAsia="Times New Roman" w:hAnsi="Helvetica" w:cs="Times New Roman"/>
          <w:kern w:val="0"/>
          <w:lang w:eastAsia="de-DE"/>
          <w14:ligatures w14:val="none"/>
        </w:rPr>
        <w:t xml:space="preserve"> und </w:t>
      </w:r>
      <w:r w:rsidRPr="00352C88">
        <w:rPr>
          <w:rFonts w:ascii="Helvetica" w:eastAsia="Times New Roman" w:hAnsi="Helvetica" w:cs="Times New Roman"/>
          <w:kern w:val="0"/>
          <w:lang w:eastAsia="de-DE"/>
          <w14:ligatures w14:val="none"/>
        </w:rPr>
        <w:t>evidenzbasiert</w:t>
      </w:r>
      <w:r w:rsidR="00054FB2">
        <w:rPr>
          <w:rFonts w:ascii="Helvetica" w:eastAsia="Times New Roman" w:hAnsi="Helvetica" w:cs="Times New Roman"/>
          <w:kern w:val="0"/>
          <w:lang w:eastAsia="de-DE"/>
          <w14:ligatures w14:val="none"/>
        </w:rPr>
        <w:t>, für eine</w:t>
      </w:r>
      <w:r w:rsidRPr="00352C88">
        <w:rPr>
          <w:rFonts w:ascii="Helvetica" w:eastAsia="Times New Roman" w:hAnsi="Helvetica" w:cs="Times New Roman"/>
          <w:kern w:val="0"/>
          <w:lang w:eastAsia="de-DE"/>
          <w14:ligatures w14:val="none"/>
        </w:rPr>
        <w:t xml:space="preserve"> zukunftsweisende Gestaltung gesundheitspolitischer Prozesse und Strukturen </w:t>
      </w:r>
      <w:r w:rsidR="00054FB2">
        <w:rPr>
          <w:rFonts w:ascii="Helvetica" w:eastAsia="Times New Roman" w:hAnsi="Helvetica" w:cs="Times New Roman"/>
          <w:kern w:val="0"/>
          <w:lang w:eastAsia="de-DE"/>
          <w14:ligatures w14:val="none"/>
        </w:rPr>
        <w:t xml:space="preserve">und </w:t>
      </w:r>
      <w:r w:rsidRPr="00352C88">
        <w:rPr>
          <w:rFonts w:ascii="Helvetica" w:eastAsia="Times New Roman" w:hAnsi="Helvetica" w:cs="Times New Roman"/>
          <w:kern w:val="0"/>
          <w:lang w:eastAsia="de-DE"/>
          <w14:ligatures w14:val="none"/>
        </w:rPr>
        <w:t xml:space="preserve">damit eine </w:t>
      </w:r>
      <w:r w:rsidR="00054FB2">
        <w:rPr>
          <w:rFonts w:ascii="Helvetica" w:eastAsia="Times New Roman" w:hAnsi="Helvetica" w:cs="Times New Roman"/>
          <w:kern w:val="0"/>
          <w:lang w:eastAsia="de-DE"/>
          <w14:ligatures w14:val="none"/>
        </w:rPr>
        <w:t>effizientere</w:t>
      </w:r>
      <w:r w:rsidRPr="00352C88">
        <w:rPr>
          <w:rFonts w:ascii="Helvetica" w:eastAsia="Times New Roman" w:hAnsi="Helvetica" w:cs="Times New Roman"/>
          <w:kern w:val="0"/>
          <w:lang w:eastAsia="de-DE"/>
          <w14:ligatures w14:val="none"/>
        </w:rPr>
        <w:t xml:space="preserve">, </w:t>
      </w:r>
      <w:r w:rsidR="00054FB2">
        <w:rPr>
          <w:rFonts w:ascii="Helvetica" w:eastAsia="Times New Roman" w:hAnsi="Helvetica" w:cs="Times New Roman"/>
          <w:kern w:val="0"/>
          <w:lang w:eastAsia="de-DE"/>
          <w14:ligatures w14:val="none"/>
        </w:rPr>
        <w:t>geschlechter</w:t>
      </w:r>
      <w:r w:rsidRPr="00352C88">
        <w:rPr>
          <w:rFonts w:ascii="Helvetica" w:eastAsia="Times New Roman" w:hAnsi="Helvetica" w:cs="Times New Roman"/>
          <w:kern w:val="0"/>
          <w:lang w:eastAsia="de-DE"/>
          <w14:ligatures w14:val="none"/>
        </w:rPr>
        <w:t xml:space="preserve">gerechtere und nachhaltigere Gesundheitsversorgung </w:t>
      </w:r>
      <w:r w:rsidR="00054FB2">
        <w:rPr>
          <w:rFonts w:ascii="Helvetica" w:eastAsia="Times New Roman" w:hAnsi="Helvetica" w:cs="Times New Roman"/>
          <w:kern w:val="0"/>
          <w:lang w:eastAsia="de-DE"/>
          <w14:ligatures w14:val="none"/>
        </w:rPr>
        <w:t xml:space="preserve">in Österreich zu </w:t>
      </w:r>
      <w:r w:rsidRPr="00352C88">
        <w:rPr>
          <w:rFonts w:ascii="Helvetica" w:eastAsia="Times New Roman" w:hAnsi="Helvetica" w:cs="Times New Roman"/>
          <w:kern w:val="0"/>
          <w:lang w:eastAsia="de-DE"/>
          <w14:ligatures w14:val="none"/>
        </w:rPr>
        <w:t xml:space="preserve">fördern. </w:t>
      </w:r>
    </w:p>
    <w:p w14:paraId="29ABFDF2" w14:textId="77777777" w:rsidR="006D7DC4"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Das Ziel von PRAEVENIRE ist es, die Versorgung auf drei Ebenen zu verbessern:</w:t>
      </w:r>
    </w:p>
    <w:p w14:paraId="463A07E1" w14:textId="498A608E" w:rsidR="006D7DC4" w:rsidRPr="00352C88" w:rsidRDefault="006D7DC4" w:rsidP="00352C88">
      <w:pPr>
        <w:numPr>
          <w:ilvl w:val="0"/>
          <w:numId w:val="1"/>
        </w:num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b/>
          <w:bCs/>
          <w:kern w:val="0"/>
          <w:lang w:eastAsia="de-DE"/>
          <w14:ligatures w14:val="none"/>
        </w:rPr>
        <w:t>Individuell:</w:t>
      </w:r>
      <w:r w:rsidRPr="00352C88">
        <w:rPr>
          <w:rFonts w:ascii="Helvetica" w:eastAsia="Times New Roman" w:hAnsi="Helvetica" w:cs="Times New Roman"/>
          <w:kern w:val="0"/>
          <w:lang w:eastAsia="de-DE"/>
          <w14:ligatures w14:val="none"/>
        </w:rPr>
        <w:t xml:space="preserve"> Früherkennung stärken, Lebensqualität sichern</w:t>
      </w:r>
      <w:r w:rsidR="00054FB2">
        <w:rPr>
          <w:rFonts w:ascii="Helvetica" w:eastAsia="Times New Roman" w:hAnsi="Helvetica" w:cs="Times New Roman"/>
          <w:kern w:val="0"/>
          <w:lang w:eastAsia="de-DE"/>
          <w14:ligatures w14:val="none"/>
        </w:rPr>
        <w:t xml:space="preserve"> bzw. verbessern</w:t>
      </w:r>
      <w:r w:rsidRPr="00352C88">
        <w:rPr>
          <w:rFonts w:ascii="Helvetica" w:eastAsia="Times New Roman" w:hAnsi="Helvetica" w:cs="Times New Roman"/>
          <w:kern w:val="0"/>
          <w:lang w:eastAsia="de-DE"/>
          <w14:ligatures w14:val="none"/>
        </w:rPr>
        <w:t xml:space="preserve"> und Frauen in ihrer Gesundheitskompetenz unterstützen </w:t>
      </w:r>
    </w:p>
    <w:p w14:paraId="3B4D09D9" w14:textId="77777777" w:rsidR="006D7DC4" w:rsidRPr="00352C88" w:rsidRDefault="006D7DC4" w:rsidP="00352C88">
      <w:pPr>
        <w:numPr>
          <w:ilvl w:val="0"/>
          <w:numId w:val="1"/>
        </w:num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b/>
          <w:bCs/>
          <w:kern w:val="0"/>
          <w:lang w:eastAsia="de-DE"/>
          <w14:ligatures w14:val="none"/>
        </w:rPr>
        <w:t>Gesundheitsökonomisch:</w:t>
      </w:r>
      <w:r w:rsidRPr="00352C88">
        <w:rPr>
          <w:rFonts w:ascii="Helvetica" w:eastAsia="Times New Roman" w:hAnsi="Helvetica" w:cs="Times New Roman"/>
          <w:kern w:val="0"/>
          <w:lang w:eastAsia="de-DE"/>
          <w14:ligatures w14:val="none"/>
        </w:rPr>
        <w:t xml:space="preserve"> Frühzeitige Intervention vor spätere komplexe Behandlung stellen </w:t>
      </w:r>
    </w:p>
    <w:p w14:paraId="157F8BC6" w14:textId="77777777" w:rsidR="006D7DC4" w:rsidRPr="00352C88" w:rsidRDefault="006D7DC4" w:rsidP="00352C88">
      <w:pPr>
        <w:numPr>
          <w:ilvl w:val="0"/>
          <w:numId w:val="1"/>
        </w:num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b/>
          <w:bCs/>
          <w:kern w:val="0"/>
          <w:lang w:eastAsia="de-DE"/>
          <w14:ligatures w14:val="none"/>
        </w:rPr>
        <w:t>Sozioökonomisch:</w:t>
      </w:r>
      <w:r w:rsidRPr="00352C88">
        <w:rPr>
          <w:rFonts w:ascii="Helvetica" w:eastAsia="Times New Roman" w:hAnsi="Helvetica" w:cs="Times New Roman"/>
          <w:kern w:val="0"/>
          <w:lang w:eastAsia="de-DE"/>
          <w14:ligatures w14:val="none"/>
        </w:rPr>
        <w:t xml:space="preserve"> Chancengerechtigkeit erhöhen und Teilhabe sichern </w:t>
      </w:r>
    </w:p>
    <w:p w14:paraId="5921D869" w14:textId="3495599D" w:rsidR="006D7DC4" w:rsidRPr="00054FB2" w:rsidRDefault="006D7DC4" w:rsidP="00352C88">
      <w:pPr>
        <w:spacing w:before="100" w:beforeAutospacing="1" w:after="100" w:afterAutospacing="1" w:line="276" w:lineRule="auto"/>
        <w:rPr>
          <w:rFonts w:ascii="Helvetica" w:eastAsia="Times New Roman" w:hAnsi="Helvetica" w:cs="Times New Roman"/>
          <w:color w:val="009E9E"/>
          <w:kern w:val="0"/>
          <w:lang w:eastAsia="de-DE"/>
          <w14:ligatures w14:val="none"/>
        </w:rPr>
      </w:pPr>
      <w:r w:rsidRPr="00054FB2">
        <w:rPr>
          <w:rFonts w:ascii="Helvetica" w:eastAsia="Times New Roman" w:hAnsi="Helvetica" w:cs="Times New Roman"/>
          <w:color w:val="009E9E"/>
          <w:kern w:val="0"/>
          <w:lang w:eastAsia="de-DE"/>
          <w14:ligatures w14:val="none"/>
        </w:rPr>
        <w:t>Gemeinsam mit Expertinnen und Experten bildet diese Petition</w:t>
      </w:r>
      <w:r w:rsidR="00054FB2" w:rsidRPr="00054FB2">
        <w:rPr>
          <w:rFonts w:ascii="Helvetica" w:eastAsia="Times New Roman" w:hAnsi="Helvetica" w:cs="Times New Roman"/>
          <w:color w:val="009E9E"/>
          <w:kern w:val="0"/>
          <w:lang w:eastAsia="de-DE"/>
          <w14:ligatures w14:val="none"/>
        </w:rPr>
        <w:t>, basierend auf dem Experten-Statement von Update Europe „Früherkennung Wechseljahre im Rahmen der PRAEVENIRE Initiative Frauengesundheit 2030“,</w:t>
      </w:r>
      <w:r w:rsidRPr="00054FB2">
        <w:rPr>
          <w:rFonts w:ascii="Helvetica" w:eastAsia="Times New Roman" w:hAnsi="Helvetica" w:cs="Times New Roman"/>
          <w:color w:val="009E9E"/>
          <w:kern w:val="0"/>
          <w:lang w:eastAsia="de-DE"/>
          <w14:ligatures w14:val="none"/>
        </w:rPr>
        <w:t xml:space="preserve"> die Grundlage für eine moderne, geschlechtersensible Gesundheitspolitik, die Frauengesundheit </w:t>
      </w:r>
      <w:r w:rsidR="00054FB2" w:rsidRPr="00054FB2">
        <w:rPr>
          <w:rFonts w:ascii="Helvetica" w:eastAsia="Times New Roman" w:hAnsi="Helvetica" w:cs="Times New Roman"/>
          <w:color w:val="009E9E"/>
          <w:kern w:val="0"/>
          <w:lang w:eastAsia="de-DE"/>
          <w14:ligatures w14:val="none"/>
        </w:rPr>
        <w:t>im Besonderen in der Phase der Wechseljahre,</w:t>
      </w:r>
      <w:r w:rsidRPr="00054FB2">
        <w:rPr>
          <w:rFonts w:ascii="Helvetica" w:eastAsia="Times New Roman" w:hAnsi="Helvetica" w:cs="Times New Roman"/>
          <w:color w:val="009E9E"/>
          <w:kern w:val="0"/>
          <w:lang w:eastAsia="de-DE"/>
          <w14:ligatures w14:val="none"/>
        </w:rPr>
        <w:t xml:space="preserve"> stärkt. </w:t>
      </w:r>
    </w:p>
    <w:p w14:paraId="0FBBA425" w14:textId="77777777" w:rsidR="00741EB9" w:rsidRDefault="00741EB9">
      <w:pPr>
        <w:rPr>
          <w:rFonts w:ascii="Helvetica" w:eastAsia="Times New Roman" w:hAnsi="Helvetica" w:cs="Times New Roman"/>
          <w:b/>
          <w:bCs/>
          <w:kern w:val="0"/>
          <w:sz w:val="36"/>
          <w:szCs w:val="36"/>
          <w:lang w:eastAsia="de-DE"/>
          <w14:ligatures w14:val="none"/>
        </w:rPr>
      </w:pPr>
    </w:p>
    <w:p w14:paraId="39BC5663" w14:textId="0D07EAD0" w:rsidR="00054FB2" w:rsidRPr="00741EB9" w:rsidRDefault="00054FB2">
      <w:pPr>
        <w:rPr>
          <w:rFonts w:ascii="Helvetica" w:eastAsia="Times New Roman" w:hAnsi="Helvetica" w:cs="Times New Roman"/>
          <w:b/>
          <w:bCs/>
          <w:kern w:val="0"/>
          <w:sz w:val="22"/>
          <w:szCs w:val="22"/>
          <w:lang w:eastAsia="de-DE"/>
          <w14:ligatures w14:val="none"/>
        </w:rPr>
      </w:pPr>
      <w:r w:rsidRPr="00741EB9">
        <w:rPr>
          <w:rFonts w:ascii="Helvetica" w:eastAsia="Times New Roman" w:hAnsi="Helvetica" w:cs="Times New Roman"/>
          <w:b/>
          <w:bCs/>
          <w:kern w:val="0"/>
          <w:sz w:val="22"/>
          <w:szCs w:val="22"/>
          <w:lang w:eastAsia="de-DE"/>
          <w14:ligatures w14:val="none"/>
        </w:rPr>
        <w:br w:type="page"/>
      </w:r>
    </w:p>
    <w:p w14:paraId="18670278" w14:textId="77777777" w:rsidR="00054FB2" w:rsidRDefault="00054FB2" w:rsidP="00352C88">
      <w:pPr>
        <w:spacing w:before="100" w:beforeAutospacing="1" w:after="100" w:afterAutospacing="1" w:line="276" w:lineRule="auto"/>
        <w:outlineLvl w:val="1"/>
        <w:rPr>
          <w:rFonts w:ascii="Helvetica" w:eastAsia="Times New Roman" w:hAnsi="Helvetica" w:cs="Times New Roman"/>
          <w:b/>
          <w:bCs/>
          <w:kern w:val="0"/>
          <w:sz w:val="36"/>
          <w:szCs w:val="36"/>
          <w:lang w:eastAsia="de-DE"/>
          <w14:ligatures w14:val="none"/>
        </w:rPr>
      </w:pPr>
    </w:p>
    <w:p w14:paraId="5435DD47" w14:textId="094ADF59" w:rsidR="006D7DC4" w:rsidRPr="00054FB2" w:rsidRDefault="006D7DC4" w:rsidP="00352C88">
      <w:pPr>
        <w:spacing w:before="100" w:beforeAutospacing="1" w:after="100" w:afterAutospacing="1" w:line="276" w:lineRule="auto"/>
        <w:outlineLvl w:val="1"/>
        <w:rPr>
          <w:rFonts w:ascii="Helvetica" w:eastAsia="Times New Roman" w:hAnsi="Helvetica" w:cs="Times New Roman"/>
          <w:color w:val="009E9E"/>
          <w:kern w:val="0"/>
          <w:sz w:val="32"/>
          <w:szCs w:val="32"/>
          <w:lang w:eastAsia="de-DE"/>
          <w14:ligatures w14:val="none"/>
        </w:rPr>
      </w:pPr>
      <w:r w:rsidRPr="00054FB2">
        <w:rPr>
          <w:rFonts w:ascii="Helvetica" w:eastAsia="Times New Roman" w:hAnsi="Helvetica" w:cs="Times New Roman"/>
          <w:color w:val="009E9E"/>
          <w:kern w:val="0"/>
          <w:sz w:val="32"/>
          <w:szCs w:val="32"/>
          <w:lang w:eastAsia="de-DE"/>
          <w14:ligatures w14:val="none"/>
        </w:rPr>
        <w:t>PETITION ZUR FRAUENGESUNDHEIT 2030</w:t>
      </w:r>
    </w:p>
    <w:p w14:paraId="0E03C47D" w14:textId="77777777" w:rsidR="00054FB2" w:rsidRPr="00054FB2" w:rsidRDefault="00054FB2" w:rsidP="00054FB2">
      <w:pPr>
        <w:spacing w:before="100" w:beforeAutospacing="1" w:after="100" w:afterAutospacing="1" w:line="276" w:lineRule="auto"/>
        <w:outlineLvl w:val="2"/>
        <w:rPr>
          <w:rFonts w:ascii="Helvetica" w:eastAsia="Times New Roman" w:hAnsi="Helvetica" w:cs="Helvetica"/>
          <w:color w:val="009E9E"/>
          <w:kern w:val="0"/>
          <w:sz w:val="27"/>
          <w:szCs w:val="27"/>
          <w:lang w:eastAsia="de-DE"/>
          <w14:ligatures w14:val="none"/>
        </w:rPr>
      </w:pPr>
      <w:r w:rsidRPr="00054FB2">
        <w:rPr>
          <w:rFonts w:ascii="Helvetica" w:eastAsia="Times New Roman" w:hAnsi="Helvetica" w:cs="Helvetica"/>
          <w:b/>
          <w:bCs/>
          <w:color w:val="009E9E"/>
          <w:kern w:val="0"/>
          <w:sz w:val="27"/>
          <w:szCs w:val="27"/>
          <w:lang w:eastAsia="de-DE"/>
          <w14:ligatures w14:val="none"/>
        </w:rPr>
        <w:t>FOKUS WECHSELJAHRE</w:t>
      </w:r>
      <w:r w:rsidRPr="00054FB2">
        <w:rPr>
          <w:rFonts w:ascii="Helvetica" w:eastAsia="Times New Roman" w:hAnsi="Helvetica" w:cs="Helvetica"/>
          <w:color w:val="009E9E"/>
          <w:kern w:val="0"/>
          <w:sz w:val="27"/>
          <w:szCs w:val="27"/>
          <w:lang w:eastAsia="de-DE"/>
          <w14:ligatures w14:val="none"/>
        </w:rPr>
        <w:t xml:space="preserve"> – </w:t>
      </w:r>
      <w:r w:rsidRPr="00054FB2">
        <w:rPr>
          <w:rFonts w:ascii="Helvetica" w:eastAsia="Times New Roman" w:hAnsi="Helvetica" w:cs="Helvetica"/>
          <w:color w:val="009E9E"/>
          <w:kern w:val="0"/>
          <w:sz w:val="27"/>
          <w:szCs w:val="27"/>
          <w:lang w:val="de-DE" w:eastAsia="de-DE"/>
          <w14:ligatures w14:val="none"/>
        </w:rPr>
        <w:t>Früherkennung stärken, Versorgung verbessern</w:t>
      </w:r>
    </w:p>
    <w:p w14:paraId="7B0919CF" w14:textId="5AB92091"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Wechseljahre anerkennen</w:t>
      </w:r>
    </w:p>
    <w:p w14:paraId="27300127"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Die Wechseljahre müssen als eigenständige, medizinisch relevante Lebensphase anerkannt werden. Sie betreffen nicht nur einzelne Symptome, sondern die körperliche, psychische und soziale Gesundheit von Frauen. Eine stärkere Sichtbarkeit in Medizin, Politik und Öffentlichkeit ist notwendig. Nur so kann eine adäquate Versorgung sichergestellt werden.</w:t>
      </w:r>
    </w:p>
    <w:p w14:paraId="2944AD56" w14:textId="3BCB710A" w:rsidR="00054FB2" w:rsidRPr="008A3F3A" w:rsidRDefault="00741EB9"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Pr>
          <w:rFonts w:ascii="Helvetica" w:eastAsia="Times New Roman" w:hAnsi="Helvetica" w:cs="Helvetica"/>
          <w:b/>
          <w:bCs/>
          <w:kern w:val="0"/>
          <w:sz w:val="27"/>
          <w:szCs w:val="27"/>
          <w:lang w:eastAsia="de-DE"/>
          <w14:ligatures w14:val="none"/>
        </w:rPr>
        <w:t>Frühe Symptome</w:t>
      </w:r>
      <w:r w:rsidR="00054FB2" w:rsidRPr="008A3F3A">
        <w:rPr>
          <w:rFonts w:ascii="Helvetica" w:eastAsia="Times New Roman" w:hAnsi="Helvetica" w:cs="Helvetica"/>
          <w:b/>
          <w:bCs/>
          <w:kern w:val="0"/>
          <w:sz w:val="27"/>
          <w:szCs w:val="27"/>
          <w:lang w:eastAsia="de-DE"/>
          <w14:ligatures w14:val="none"/>
        </w:rPr>
        <w:t xml:space="preserve"> </w:t>
      </w:r>
      <w:r w:rsidR="008A3F3A" w:rsidRPr="008A3F3A">
        <w:rPr>
          <w:rFonts w:ascii="Helvetica" w:eastAsia="Times New Roman" w:hAnsi="Helvetica" w:cs="Helvetica"/>
          <w:b/>
          <w:bCs/>
          <w:kern w:val="0"/>
          <w:sz w:val="27"/>
          <w:szCs w:val="27"/>
          <w:lang w:eastAsia="de-DE"/>
          <w14:ligatures w14:val="none"/>
        </w:rPr>
        <w:t>ernst nehmen und</w:t>
      </w:r>
      <w:r>
        <w:rPr>
          <w:rFonts w:ascii="Helvetica" w:eastAsia="Times New Roman" w:hAnsi="Helvetica" w:cs="Helvetica"/>
          <w:b/>
          <w:bCs/>
          <w:kern w:val="0"/>
          <w:sz w:val="27"/>
          <w:szCs w:val="27"/>
          <w:lang w:eastAsia="de-DE"/>
          <w14:ligatures w14:val="none"/>
        </w:rPr>
        <w:t xml:space="preserve"> </w:t>
      </w:r>
      <w:r w:rsidR="00054FB2" w:rsidRPr="008A3F3A">
        <w:rPr>
          <w:rFonts w:ascii="Helvetica" w:eastAsia="Times New Roman" w:hAnsi="Helvetica" w:cs="Helvetica"/>
          <w:b/>
          <w:bCs/>
          <w:kern w:val="0"/>
          <w:sz w:val="27"/>
          <w:szCs w:val="27"/>
          <w:lang w:eastAsia="de-DE"/>
          <w14:ligatures w14:val="none"/>
        </w:rPr>
        <w:t>erkennen</w:t>
      </w:r>
    </w:p>
    <w:p w14:paraId="4ABA7736" w14:textId="77F4760C"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Unspezifische Beschwerden wie Schlafstörungen, Stimmungsschwankungen</w:t>
      </w:r>
      <w:r w:rsidR="00741EB9">
        <w:rPr>
          <w:rFonts w:ascii="Helvetica" w:eastAsia="Times New Roman" w:hAnsi="Helvetica" w:cs="Helvetica"/>
          <w:kern w:val="0"/>
          <w:lang w:eastAsia="de-DE"/>
          <w14:ligatures w14:val="none"/>
        </w:rPr>
        <w:t xml:space="preserve">, </w:t>
      </w:r>
      <w:r w:rsidRPr="008A3F3A">
        <w:rPr>
          <w:rFonts w:ascii="Helvetica" w:eastAsia="Times New Roman" w:hAnsi="Helvetica" w:cs="Helvetica"/>
          <w:kern w:val="0"/>
          <w:lang w:eastAsia="de-DE"/>
          <w14:ligatures w14:val="none"/>
        </w:rPr>
        <w:t>Gewichtszunahme</w:t>
      </w:r>
      <w:r w:rsidR="00741EB9">
        <w:rPr>
          <w:rFonts w:ascii="Helvetica" w:eastAsia="Times New Roman" w:hAnsi="Helvetica" w:cs="Helvetica"/>
          <w:kern w:val="0"/>
          <w:lang w:eastAsia="de-DE"/>
          <w14:ligatures w14:val="none"/>
        </w:rPr>
        <w:t>, etc.</w:t>
      </w:r>
      <w:r w:rsidRPr="008A3F3A">
        <w:rPr>
          <w:rFonts w:ascii="Helvetica" w:eastAsia="Times New Roman" w:hAnsi="Helvetica" w:cs="Helvetica"/>
          <w:kern w:val="0"/>
          <w:lang w:eastAsia="de-DE"/>
          <w14:ligatures w14:val="none"/>
        </w:rPr>
        <w:t xml:space="preserve"> müssen frühzeitig ernst genommen werden. Sie können erste Hinweise auf hormonelle Veränderungen sein. </w:t>
      </w:r>
      <w:r w:rsidR="00741EB9" w:rsidRPr="00741EB9">
        <w:rPr>
          <w:rFonts w:ascii="Helvetica" w:eastAsia="Times New Roman" w:hAnsi="Helvetica" w:cs="Helvetica"/>
          <w:kern w:val="0"/>
          <w:lang w:eastAsia="de-DE"/>
          <w14:ligatures w14:val="none"/>
        </w:rPr>
        <w:t xml:space="preserve">Eine besondere Bedeutung kommt dabei der Sensibilisierung </w:t>
      </w:r>
      <w:r w:rsidR="00741EB9">
        <w:rPr>
          <w:rFonts w:ascii="Helvetica" w:eastAsia="Times New Roman" w:hAnsi="Helvetica" w:cs="Helvetica"/>
          <w:kern w:val="0"/>
          <w:lang w:eastAsia="de-DE"/>
          <w14:ligatures w14:val="none"/>
        </w:rPr>
        <w:t>der</w:t>
      </w:r>
      <w:r w:rsidR="00741EB9" w:rsidRPr="00741EB9">
        <w:rPr>
          <w:rFonts w:ascii="Helvetica" w:eastAsia="Times New Roman" w:hAnsi="Helvetica" w:cs="Helvetica"/>
          <w:kern w:val="0"/>
          <w:lang w:eastAsia="de-DE"/>
          <w14:ligatures w14:val="none"/>
        </w:rPr>
        <w:t xml:space="preserve"> Gesundheitsberufe</w:t>
      </w:r>
      <w:r w:rsidR="00741EB9">
        <w:rPr>
          <w:rFonts w:ascii="Helvetica" w:eastAsia="Times New Roman" w:hAnsi="Helvetica" w:cs="Helvetica"/>
          <w:kern w:val="0"/>
          <w:lang w:eastAsia="de-DE"/>
          <w14:ligatures w14:val="none"/>
        </w:rPr>
        <w:t xml:space="preserve"> für dieses Thema</w:t>
      </w:r>
      <w:r w:rsidR="00741EB9" w:rsidRPr="00741EB9">
        <w:rPr>
          <w:rFonts w:ascii="Helvetica" w:eastAsia="Times New Roman" w:hAnsi="Helvetica" w:cs="Helvetica"/>
          <w:kern w:val="0"/>
          <w:lang w:eastAsia="de-DE"/>
          <w14:ligatures w14:val="none"/>
        </w:rPr>
        <w:t xml:space="preserve"> zu</w:t>
      </w:r>
      <w:r w:rsidR="00741EB9">
        <w:rPr>
          <w:rFonts w:ascii="Helvetica" w:eastAsia="Times New Roman" w:hAnsi="Helvetica" w:cs="Helvetica"/>
          <w:kern w:val="0"/>
          <w:lang w:eastAsia="de-DE"/>
          <w14:ligatures w14:val="none"/>
        </w:rPr>
        <w:t xml:space="preserve">. Darüber hinaus tragen </w:t>
      </w:r>
      <w:r w:rsidR="00741EB9" w:rsidRPr="00741EB9">
        <w:rPr>
          <w:rFonts w:ascii="Helvetica" w:eastAsia="Times New Roman" w:hAnsi="Helvetica" w:cs="Helvetica"/>
          <w:kern w:val="0"/>
          <w:lang w:eastAsia="de-DE"/>
          <w14:ligatures w14:val="none"/>
        </w:rPr>
        <w:t>Früherkennung und Sensibilisierung im gesamten Gesundheitssystem wesentlich dazu bei, spätere körperliche und psychische Belastungen</w:t>
      </w:r>
      <w:r w:rsidR="00741EB9">
        <w:rPr>
          <w:rFonts w:ascii="Helvetica" w:eastAsia="Times New Roman" w:hAnsi="Helvetica" w:cs="Helvetica"/>
          <w:kern w:val="0"/>
          <w:lang w:eastAsia="de-DE"/>
          <w14:ligatures w14:val="none"/>
        </w:rPr>
        <w:t xml:space="preserve"> verhindern zu können</w:t>
      </w:r>
      <w:r w:rsidR="00741EB9" w:rsidRPr="00741EB9">
        <w:rPr>
          <w:rFonts w:ascii="Helvetica" w:eastAsia="Times New Roman" w:hAnsi="Helvetica" w:cs="Helvetica"/>
          <w:kern w:val="0"/>
          <w:lang w:eastAsia="de-DE"/>
          <w14:ligatures w14:val="none"/>
        </w:rPr>
        <w:t xml:space="preserve"> und die Lebensqualität der betroffenen Frauen nachhaltig zu verbessern.</w:t>
      </w:r>
      <w:r w:rsidR="00741EB9">
        <w:rPr>
          <w:rFonts w:ascii="Helvetica" w:eastAsia="Times New Roman" w:hAnsi="Helvetica" w:cs="Helvetica"/>
          <w:kern w:val="0"/>
          <w:lang w:eastAsia="de-DE"/>
          <w14:ligatures w14:val="none"/>
        </w:rPr>
        <w:t xml:space="preserve"> </w:t>
      </w:r>
    </w:p>
    <w:p w14:paraId="2C7A7969" w14:textId="4ABBDD63"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Früherkennung systematisch verankern</w:t>
      </w:r>
    </w:p>
    <w:p w14:paraId="71907E8B"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Die frühe Diagnose der Wechseljahre soll als fixer Bestandteil der Vorsorgemedizin etabliert werden. Ziel ist es, Beschwerden rechtzeitig zu erkennen und zu behandeln. Dadurch können schwere Symptome und Folgeerkrankungen reduziert werden. Prävention beginnt vor dem Auftreten massiver Beschwerden.</w:t>
      </w:r>
    </w:p>
    <w:p w14:paraId="53490EE2" w14:textId="51E0D3E3"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Ärztliche Abklärung stärken</w:t>
      </w:r>
    </w:p>
    <w:p w14:paraId="34CCD0DD"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Das ärztliche Gespräch und die klinische Beurteilung stehen im Zentrum der Diagnose. Laborwerte allein reichen insbesondere in frühen Phasen oft nicht aus. Eine sorgfältige Anamnese ist entscheidend für die richtige Einordnung der Beschwerden. Die medizinische Begleitung muss individuell erfolgen.</w:t>
      </w:r>
    </w:p>
    <w:p w14:paraId="27364DD6" w14:textId="24E975C8"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Ganzheitlich diagnostizieren</w:t>
      </w:r>
    </w:p>
    <w:p w14:paraId="6954C136"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Beschwerden in den Wechseljahren können auch andere Ursachen haben. Daher müssen Differenzialdiagnosen wie Stoffwechsel-, Schilddrüsen- oder psychische Erkrankungen konsequent abgeklärt werden. Eine strukturierte Diagnostik verhindert Fehldiagnosen. Sie schafft Sicherheit für Patientinnen und Behandelnde.</w:t>
      </w:r>
    </w:p>
    <w:p w14:paraId="5E9F6B6B" w14:textId="77777777" w:rsidR="008A3F3A" w:rsidRDefault="008A3F3A"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276A6732" w14:textId="77777777" w:rsidR="008A3F3A" w:rsidRDefault="008A3F3A"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1022B761" w14:textId="77777777" w:rsidR="008A3F3A" w:rsidRDefault="008A3F3A"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5895CA78" w14:textId="74DE93F2"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Gesundheitskompetenz fördern</w:t>
      </w:r>
    </w:p>
    <w:p w14:paraId="05853AE2"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Frauen sollen befähigt werden, Veränderungen ihres Körpers zu verstehen und früh zu handeln. Dafür braucht es breite, qualitätsgesicherte Information und Aufklärung. Tabus und Unsicherheiten müssen abgebaut werden. Gesundheitskompetenz ist die Grundlage für Selbstbestimmung.</w:t>
      </w:r>
    </w:p>
    <w:p w14:paraId="5CD20CFF" w14:textId="0DB0B726"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Differenzierten Zugang sichern</w:t>
      </w:r>
    </w:p>
    <w:p w14:paraId="01497219"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Die Wechseljahre verlaufen individuell unterschiedlich und müssen auch so behandelt werden. Nicht jede Frau benötigt die gleiche Form der Unterstützung. Ein evidenzbasierter, differenzierter Zugang ist daher essenziell. Ziel ist eine personalisierte und angemessene Betreuung.</w:t>
      </w:r>
    </w:p>
    <w:p w14:paraId="2D37D077" w14:textId="6DEC4150"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Versorgung verbessern</w:t>
      </w:r>
    </w:p>
    <w:p w14:paraId="514534BB"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Der Zugang zu gynäkologischer und interdisziplinärer Versorgung muss sichergestellt werden. Versorgungsengpässe in zentralen Bereichen der Frauengesundheit sind zu reduzieren. Frauen müssen unabhängig von ihrem sozialen Status Zugang zu qualifizierter Betreuung haben. Eine gerechte Versorgung ist Voraussetzung für Gesundheit.</w:t>
      </w:r>
    </w:p>
    <w:p w14:paraId="3B3C4719" w14:textId="620416B9"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Prävention langfristig denken</w:t>
      </w:r>
    </w:p>
    <w:p w14:paraId="12804AF9" w14:textId="77777777" w:rsidR="00054FB2" w:rsidRPr="008A3F3A" w:rsidRDefault="00054FB2" w:rsidP="008A3F3A">
      <w:pPr>
        <w:spacing w:before="100" w:beforeAutospacing="1" w:after="100" w:afterAutospacing="1" w:line="276" w:lineRule="auto"/>
        <w:rPr>
          <w:rFonts w:ascii="Helvetica" w:eastAsia="Times New Roman" w:hAnsi="Helvetica" w:cs="Helvetica"/>
          <w:kern w:val="0"/>
          <w:lang w:eastAsia="de-DE"/>
          <w14:ligatures w14:val="none"/>
        </w:rPr>
      </w:pPr>
      <w:r w:rsidRPr="008A3F3A">
        <w:rPr>
          <w:rFonts w:ascii="Helvetica" w:eastAsia="Times New Roman" w:hAnsi="Helvetica" w:cs="Helvetica"/>
          <w:kern w:val="0"/>
          <w:lang w:eastAsia="de-DE"/>
          <w14:ligatures w14:val="none"/>
        </w:rPr>
        <w:t>Die Wechseljahre sind ein entscheidendes Zeitfenster für die langfristige Gesundheit. Risiken für Herz-Kreislauf-Erkrankungen, Diabetes, Osteoporose und psychische Belastungen können früh erkannt werden. Präventive Maßnahmen müssen gezielt eingesetzt werden. Langzeitgesundheit beginnt in dieser Lebensphase.</w:t>
      </w:r>
    </w:p>
    <w:p w14:paraId="5DE47F94" w14:textId="6316DF43" w:rsidR="00054FB2" w:rsidRPr="008A3F3A" w:rsidRDefault="00054FB2" w:rsidP="008A3F3A">
      <w:pPr>
        <w:pStyle w:val="Listenabsatz"/>
        <w:numPr>
          <w:ilvl w:val="0"/>
          <w:numId w:val="2"/>
        </w:num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r w:rsidRPr="008A3F3A">
        <w:rPr>
          <w:rFonts w:ascii="Helvetica" w:eastAsia="Times New Roman" w:hAnsi="Helvetica" w:cs="Helvetica"/>
          <w:b/>
          <w:bCs/>
          <w:kern w:val="0"/>
          <w:sz w:val="27"/>
          <w:szCs w:val="27"/>
          <w:lang w:eastAsia="de-DE"/>
          <w14:ligatures w14:val="none"/>
        </w:rPr>
        <w:t>Gesellschaftliche Rahmenbedingungen verbessern</w:t>
      </w:r>
    </w:p>
    <w:p w14:paraId="21FF3BB1" w14:textId="77777777" w:rsidR="00054FB2" w:rsidRPr="00054FB2" w:rsidRDefault="00054FB2" w:rsidP="00054FB2">
      <w:pPr>
        <w:spacing w:before="100" w:beforeAutospacing="1" w:after="100" w:afterAutospacing="1" w:line="276" w:lineRule="auto"/>
        <w:rPr>
          <w:rFonts w:ascii="Helvetica" w:eastAsia="Times New Roman" w:hAnsi="Helvetica" w:cs="Helvetica"/>
          <w:kern w:val="0"/>
          <w:lang w:eastAsia="de-DE"/>
          <w14:ligatures w14:val="none"/>
        </w:rPr>
      </w:pPr>
      <w:r w:rsidRPr="00054FB2">
        <w:rPr>
          <w:rFonts w:ascii="Helvetica" w:eastAsia="Times New Roman" w:hAnsi="Helvetica" w:cs="Helvetica"/>
          <w:kern w:val="0"/>
          <w:lang w:eastAsia="de-DE"/>
          <w14:ligatures w14:val="none"/>
        </w:rPr>
        <w:t>Die Auswirkungen der Wechseljahre auf Arbeitsleben und Alltag müssen stärker berücksichtigt werden. Gesundheitliche Beschwerden können Leistungsfähigkeit und Teilhabe beeinflussen. Es braucht ein Umfeld, das Frauen unterstützt statt belastet. Frauengesundheit ist eine gesamtgesellschaftliche Aufgabe.</w:t>
      </w:r>
    </w:p>
    <w:p w14:paraId="00BE82E3" w14:textId="77777777" w:rsidR="00054FB2" w:rsidRDefault="00054FB2"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4DEE55C1" w14:textId="77777777" w:rsidR="008A3F3A" w:rsidRDefault="008A3F3A"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3AA085C8" w14:textId="77777777" w:rsidR="008A3F3A" w:rsidRPr="00054FB2" w:rsidRDefault="008A3F3A" w:rsidP="00054FB2">
      <w:pPr>
        <w:spacing w:before="100" w:beforeAutospacing="1" w:after="100" w:afterAutospacing="1" w:line="276" w:lineRule="auto"/>
        <w:outlineLvl w:val="2"/>
        <w:rPr>
          <w:rFonts w:ascii="Helvetica" w:eastAsia="Times New Roman" w:hAnsi="Helvetica" w:cs="Helvetica"/>
          <w:b/>
          <w:bCs/>
          <w:kern w:val="0"/>
          <w:sz w:val="27"/>
          <w:szCs w:val="27"/>
          <w:lang w:eastAsia="de-DE"/>
          <w14:ligatures w14:val="none"/>
        </w:rPr>
      </w:pPr>
    </w:p>
    <w:p w14:paraId="70FE31B0" w14:textId="77777777" w:rsidR="006D7DC4" w:rsidRPr="008A3F3A" w:rsidRDefault="006D7DC4" w:rsidP="00352C88">
      <w:pPr>
        <w:spacing w:before="100" w:beforeAutospacing="1" w:after="100" w:afterAutospacing="1" w:line="276" w:lineRule="auto"/>
        <w:outlineLvl w:val="1"/>
        <w:rPr>
          <w:rFonts w:ascii="Helvetica" w:eastAsia="Times New Roman" w:hAnsi="Helvetica" w:cs="Times New Roman"/>
          <w:color w:val="009E9E"/>
          <w:kern w:val="0"/>
          <w:sz w:val="32"/>
          <w:szCs w:val="32"/>
          <w:lang w:eastAsia="de-DE"/>
          <w14:ligatures w14:val="none"/>
        </w:rPr>
      </w:pPr>
      <w:r w:rsidRPr="008A3F3A">
        <w:rPr>
          <w:rFonts w:ascii="Helvetica" w:eastAsia="Times New Roman" w:hAnsi="Helvetica" w:cs="Times New Roman"/>
          <w:color w:val="009E9E"/>
          <w:kern w:val="0"/>
          <w:sz w:val="32"/>
          <w:szCs w:val="32"/>
          <w:lang w:eastAsia="de-DE"/>
          <w14:ligatures w14:val="none"/>
        </w:rPr>
        <w:t>SCHLUSSFOLGERUNG</w:t>
      </w:r>
    </w:p>
    <w:p w14:paraId="62C52DD0" w14:textId="77777777" w:rsidR="006D7DC4"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Die Wechseljahre sind ein prägender Abschnitt im Leben jeder Frau – mit weitreichenden Auswirkungen auf Gesundheit, Lebensqualität und gesellschaftliche Teilhabe.</w:t>
      </w:r>
    </w:p>
    <w:p w14:paraId="417B6E96" w14:textId="77777777" w:rsidR="006D7DC4"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Früherkennung, Aufklärung und eine evidenzbasierte Versorgung sind die entscheidenden Voraussetzungen, um Risiken zu minimieren, Beschwerden zu lindern und langfristige Gesundheit zu sichern.</w:t>
      </w:r>
    </w:p>
    <w:p w14:paraId="374E4B28" w14:textId="06D11489" w:rsidR="006D7DC4" w:rsidRPr="00352C88" w:rsidRDefault="006D7DC4" w:rsidP="00352C88">
      <w:pPr>
        <w:spacing w:before="100" w:beforeAutospacing="1" w:after="100" w:afterAutospacing="1" w:line="276" w:lineRule="auto"/>
        <w:rPr>
          <w:rFonts w:ascii="Helvetica" w:eastAsia="Times New Roman" w:hAnsi="Helvetica" w:cs="Times New Roman"/>
          <w:kern w:val="0"/>
          <w:lang w:eastAsia="de-DE"/>
          <w14:ligatures w14:val="none"/>
        </w:rPr>
      </w:pPr>
      <w:r w:rsidRPr="00352C88">
        <w:rPr>
          <w:rFonts w:ascii="Helvetica" w:eastAsia="Times New Roman" w:hAnsi="Helvetica" w:cs="Times New Roman"/>
          <w:kern w:val="0"/>
          <w:lang w:eastAsia="de-DE"/>
          <w14:ligatures w14:val="none"/>
        </w:rPr>
        <w:t>Die PRAEVENIRE Initiative Frauengesundheit 2030 versteht diese Petition als klaren Auftrag an Politik, Gesundheitswesen und Gesellschaft, Frauengesundheit</w:t>
      </w:r>
      <w:r w:rsidR="008A3F3A">
        <w:rPr>
          <w:rFonts w:ascii="Helvetica" w:eastAsia="Times New Roman" w:hAnsi="Helvetica" w:cs="Times New Roman"/>
          <w:kern w:val="0"/>
          <w:lang w:eastAsia="de-DE"/>
          <w14:ligatures w14:val="none"/>
        </w:rPr>
        <w:t xml:space="preserve"> mit Fokus auf die Wechseljahre</w:t>
      </w:r>
      <w:r w:rsidRPr="00352C88">
        <w:rPr>
          <w:rFonts w:ascii="Helvetica" w:eastAsia="Times New Roman" w:hAnsi="Helvetica" w:cs="Times New Roman"/>
          <w:kern w:val="0"/>
          <w:lang w:eastAsia="de-DE"/>
          <w14:ligatures w14:val="none"/>
        </w:rPr>
        <w:t xml:space="preserve"> sichtbar zu machen, strukturell zu stärken und nachhaltig zu verbessern.</w:t>
      </w:r>
    </w:p>
    <w:p w14:paraId="1EF8AA61" w14:textId="77777777" w:rsidR="00741EB9" w:rsidRDefault="00741EB9" w:rsidP="00352C88">
      <w:pPr>
        <w:spacing w:line="276" w:lineRule="auto"/>
        <w:rPr>
          <w:rFonts w:ascii="Helvetica" w:hAnsi="Helvetica"/>
        </w:rPr>
      </w:pPr>
    </w:p>
    <w:p w14:paraId="3F26FC73" w14:textId="77777777" w:rsidR="00741EB9" w:rsidRDefault="00741EB9" w:rsidP="00352C88">
      <w:pPr>
        <w:spacing w:line="276" w:lineRule="auto"/>
        <w:rPr>
          <w:rFonts w:ascii="Helvetica" w:hAnsi="Helvetica"/>
        </w:rPr>
      </w:pPr>
    </w:p>
    <w:p w14:paraId="4DE65B6C" w14:textId="77777777" w:rsidR="00741EB9" w:rsidRDefault="00741EB9" w:rsidP="00352C88">
      <w:pPr>
        <w:spacing w:line="276" w:lineRule="auto"/>
        <w:rPr>
          <w:rFonts w:ascii="Helvetica" w:hAnsi="Helvetica"/>
        </w:rPr>
      </w:pPr>
    </w:p>
    <w:p w14:paraId="669664B3" w14:textId="77777777" w:rsidR="00741EB9" w:rsidRDefault="00741EB9" w:rsidP="00352C88">
      <w:pPr>
        <w:spacing w:line="276" w:lineRule="auto"/>
        <w:rPr>
          <w:rFonts w:ascii="Helvetica" w:hAnsi="Helvetica"/>
        </w:rPr>
      </w:pPr>
    </w:p>
    <w:p w14:paraId="2CBD6F5E" w14:textId="194E2962" w:rsidR="00E06E57" w:rsidRPr="00741EB9" w:rsidRDefault="00741EB9" w:rsidP="00352C88">
      <w:pPr>
        <w:spacing w:line="276" w:lineRule="auto"/>
        <w:rPr>
          <w:rFonts w:ascii="Helvetica" w:hAnsi="Helvetica"/>
          <w:sz w:val="20"/>
          <w:szCs w:val="20"/>
        </w:rPr>
      </w:pPr>
      <w:r w:rsidRPr="00741EB9">
        <w:rPr>
          <w:rFonts w:ascii="Helvetica" w:hAnsi="Helvetica"/>
          <w:sz w:val="20"/>
          <w:szCs w:val="20"/>
        </w:rPr>
        <w:t xml:space="preserve">Quelle: </w:t>
      </w:r>
      <w:r w:rsidRPr="00741EB9">
        <w:rPr>
          <w:rFonts w:ascii="Helvetica" w:hAnsi="Helvetica"/>
          <w:sz w:val="20"/>
          <w:szCs w:val="20"/>
        </w:rPr>
        <w:t xml:space="preserve">PRAEVENIRE Gesundheitsforum (Hrsg.). Früherkennung Wechseljahre im Rahmen der PRAEVENIRE Initiative Frauengesundheit 2030: Experten-Statement. </w:t>
      </w:r>
      <w:r w:rsidRPr="00741EB9">
        <w:rPr>
          <w:rFonts w:ascii="Helvetica" w:hAnsi="Helvetica"/>
          <w:i/>
          <w:iCs/>
          <w:sz w:val="20"/>
          <w:szCs w:val="20"/>
        </w:rPr>
        <w:t>Update Europe – Internationale Zeitschrift für ärztliche Fortbildung</w:t>
      </w:r>
      <w:r w:rsidRPr="00741EB9">
        <w:rPr>
          <w:rFonts w:ascii="Helvetica" w:hAnsi="Helvetica"/>
          <w:sz w:val="20"/>
          <w:szCs w:val="20"/>
        </w:rPr>
        <w:t>. 2026;3(März).</w:t>
      </w:r>
    </w:p>
    <w:sectPr w:rsidR="00E06E57" w:rsidRPr="00741EB9" w:rsidSect="00352C88">
      <w:headerReference w:type="default" r:id="rId7"/>
      <w:footerReference w:type="default" r:id="rId8"/>
      <w:pgSz w:w="11906" w:h="16838"/>
      <w:pgMar w:top="1799" w:right="707" w:bottom="851"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FBCB" w14:textId="77777777" w:rsidR="00E477E0" w:rsidRDefault="00E477E0" w:rsidP="00352C88">
      <w:pPr>
        <w:spacing w:after="0" w:line="240" w:lineRule="auto"/>
      </w:pPr>
      <w:r>
        <w:separator/>
      </w:r>
    </w:p>
  </w:endnote>
  <w:endnote w:type="continuationSeparator" w:id="0">
    <w:p w14:paraId="35BDEDC4" w14:textId="77777777" w:rsidR="00E477E0" w:rsidRDefault="00E477E0" w:rsidP="0035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658297"/>
      <w:docPartObj>
        <w:docPartGallery w:val="Page Numbers (Bottom of Page)"/>
        <w:docPartUnique/>
      </w:docPartObj>
    </w:sdtPr>
    <w:sdtEndPr>
      <w:rPr>
        <w:sz w:val="20"/>
        <w:szCs w:val="20"/>
      </w:rPr>
    </w:sdtEndPr>
    <w:sdtContent>
      <w:p w14:paraId="54B22259" w14:textId="51B1B95F" w:rsidR="00352C88" w:rsidRPr="00352C88" w:rsidRDefault="00352C88">
        <w:pPr>
          <w:pStyle w:val="Fuzeile"/>
          <w:jc w:val="right"/>
          <w:rPr>
            <w:sz w:val="20"/>
            <w:szCs w:val="20"/>
          </w:rPr>
        </w:pPr>
        <w:r w:rsidRPr="00352C88">
          <w:rPr>
            <w:sz w:val="20"/>
            <w:szCs w:val="20"/>
          </w:rPr>
          <w:fldChar w:fldCharType="begin"/>
        </w:r>
        <w:r w:rsidRPr="00352C88">
          <w:rPr>
            <w:sz w:val="20"/>
            <w:szCs w:val="20"/>
          </w:rPr>
          <w:instrText>PAGE   \* MERGEFORMAT</w:instrText>
        </w:r>
        <w:r w:rsidRPr="00352C88">
          <w:rPr>
            <w:sz w:val="20"/>
            <w:szCs w:val="20"/>
          </w:rPr>
          <w:fldChar w:fldCharType="separate"/>
        </w:r>
        <w:r w:rsidRPr="00352C88">
          <w:rPr>
            <w:sz w:val="20"/>
            <w:szCs w:val="20"/>
            <w:lang w:val="de-DE"/>
          </w:rPr>
          <w:t>2</w:t>
        </w:r>
        <w:r w:rsidRPr="00352C88">
          <w:rPr>
            <w:sz w:val="20"/>
            <w:szCs w:val="20"/>
          </w:rPr>
          <w:fldChar w:fldCharType="end"/>
        </w:r>
      </w:p>
    </w:sdtContent>
  </w:sdt>
  <w:p w14:paraId="213CD116" w14:textId="77777777" w:rsidR="00352C88" w:rsidRDefault="00352C88" w:rsidP="00352C8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A604" w14:textId="77777777" w:rsidR="00E477E0" w:rsidRDefault="00E477E0" w:rsidP="00352C88">
      <w:pPr>
        <w:spacing w:after="0" w:line="240" w:lineRule="auto"/>
      </w:pPr>
      <w:r>
        <w:separator/>
      </w:r>
    </w:p>
  </w:footnote>
  <w:footnote w:type="continuationSeparator" w:id="0">
    <w:p w14:paraId="1E22BF10" w14:textId="77777777" w:rsidR="00E477E0" w:rsidRDefault="00E477E0" w:rsidP="0035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0FEB" w14:textId="731EFA36" w:rsidR="00352C88" w:rsidRDefault="00352C88">
    <w:pPr>
      <w:pStyle w:val="Kopfzeile"/>
    </w:pPr>
    <w:r w:rsidRPr="00352C88">
      <w:rPr>
        <w:rFonts w:ascii="Helvetica" w:eastAsia="Times New Roman" w:hAnsi="Helvetica" w:cs="Times New Roman"/>
        <w:b/>
        <w:bCs/>
        <w:noProof/>
        <w:color w:val="009E9E"/>
        <w:kern w:val="36"/>
        <w:sz w:val="48"/>
        <w:szCs w:val="48"/>
        <w:lang w:eastAsia="de-DE"/>
        <w14:ligatures w14:val="none"/>
      </w:rPr>
      <w:drawing>
        <wp:anchor distT="0" distB="0" distL="114300" distR="114300" simplePos="0" relativeHeight="251659264" behindDoc="1" locked="0" layoutInCell="1" allowOverlap="1" wp14:anchorId="615C1198" wp14:editId="6F9087C6">
          <wp:simplePos x="0" y="0"/>
          <wp:positionH relativeFrom="column">
            <wp:posOffset>4248150</wp:posOffset>
          </wp:positionH>
          <wp:positionV relativeFrom="paragraph">
            <wp:posOffset>-229235</wp:posOffset>
          </wp:positionV>
          <wp:extent cx="2105025" cy="776448"/>
          <wp:effectExtent l="0" t="0" r="0" b="5080"/>
          <wp:wrapTight wrapText="bothSides">
            <wp:wrapPolygon edited="0">
              <wp:start x="0" y="0"/>
              <wp:lineTo x="0" y="21211"/>
              <wp:lineTo x="21307" y="21211"/>
              <wp:lineTo x="21307" y="0"/>
              <wp:lineTo x="0" y="0"/>
            </wp:wrapPolygon>
          </wp:wrapTight>
          <wp:docPr id="739616440" name="Grafik 10" descr="Ein Bild, das Text, Screenshot, Logo, Schrift enthält.&#10;&#10;Automatisch generierte Beschreibung">
            <a:extLst xmlns:a="http://schemas.openxmlformats.org/drawingml/2006/main">
              <a:ext uri="{FF2B5EF4-FFF2-40B4-BE49-F238E27FC236}">
                <a16:creationId xmlns:a16="http://schemas.microsoft.com/office/drawing/2014/main" id="{80D66092-5483-7B1E-27FA-6DFB255528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descr="Ein Bild, das Text, Screenshot, Logo, Schrift enthält.&#10;&#10;Automatisch generierte Beschreibung">
                    <a:extLst>
                      <a:ext uri="{FF2B5EF4-FFF2-40B4-BE49-F238E27FC236}">
                        <a16:creationId xmlns:a16="http://schemas.microsoft.com/office/drawing/2014/main" id="{80D66092-5483-7B1E-27FA-6DFB255528F2}"/>
                      </a:ext>
                    </a:extLst>
                  </pic:cNvPr>
                  <pic:cNvPicPr>
                    <a:picLocks noChangeAspect="1"/>
                  </pic:cNvPicPr>
                </pic:nvPicPr>
                <pic:blipFill rotWithShape="1">
                  <a:blip r:embed="rId1">
                    <a:extLst>
                      <a:ext uri="{28A0092B-C50C-407E-A947-70E740481C1C}">
                        <a14:useLocalDpi xmlns:a14="http://schemas.microsoft.com/office/drawing/2010/main" val="0"/>
                      </a:ext>
                    </a:extLst>
                  </a:blip>
                  <a:srcRect t="37622" r="41103" b="31649"/>
                  <a:stretch/>
                </pic:blipFill>
                <pic:spPr>
                  <a:xfrm>
                    <a:off x="0" y="0"/>
                    <a:ext cx="2105025" cy="776448"/>
                  </a:xfrm>
                  <a:prstGeom prst="rect">
                    <a:avLst/>
                  </a:prstGeom>
                </pic:spPr>
              </pic:pic>
            </a:graphicData>
          </a:graphic>
        </wp:anchor>
      </w:drawing>
    </w:r>
  </w:p>
  <w:p w14:paraId="5962E6E2" w14:textId="77777777" w:rsidR="00352C88" w:rsidRDefault="00352C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D2D26"/>
    <w:multiLevelType w:val="multilevel"/>
    <w:tmpl w:val="A0DED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57AA4"/>
    <w:multiLevelType w:val="hybridMultilevel"/>
    <w:tmpl w:val="7904F5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1748917">
    <w:abstractNumId w:val="0"/>
  </w:num>
  <w:num w:numId="2" w16cid:durableId="87623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C4"/>
    <w:rsid w:val="00054FB2"/>
    <w:rsid w:val="00113D14"/>
    <w:rsid w:val="002A1C6E"/>
    <w:rsid w:val="002E73E5"/>
    <w:rsid w:val="00352C88"/>
    <w:rsid w:val="00530EDF"/>
    <w:rsid w:val="006D7DC4"/>
    <w:rsid w:val="00741EB9"/>
    <w:rsid w:val="007773A3"/>
    <w:rsid w:val="00880779"/>
    <w:rsid w:val="008A3F3A"/>
    <w:rsid w:val="00995DD5"/>
    <w:rsid w:val="00AF1B28"/>
    <w:rsid w:val="00AF633D"/>
    <w:rsid w:val="00B34492"/>
    <w:rsid w:val="00B5376A"/>
    <w:rsid w:val="00E06E57"/>
    <w:rsid w:val="00E477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9F5F8"/>
  <w15:chartTrackingRefBased/>
  <w15:docId w15:val="{E88A9B24-A204-5248-A641-BE390C73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D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D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D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D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D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7DC4"/>
    <w:rPr>
      <w:rFonts w:eastAsiaTheme="majorEastAsia" w:cstheme="majorBidi"/>
      <w:color w:val="272727" w:themeColor="text1" w:themeTint="D8"/>
    </w:rPr>
  </w:style>
  <w:style w:type="paragraph" w:styleId="Titel">
    <w:name w:val="Title"/>
    <w:basedOn w:val="Standard"/>
    <w:next w:val="Standard"/>
    <w:link w:val="TitelZchn"/>
    <w:uiPriority w:val="10"/>
    <w:qFormat/>
    <w:rsid w:val="006D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7DC4"/>
    <w:rPr>
      <w:i/>
      <w:iCs/>
      <w:color w:val="404040" w:themeColor="text1" w:themeTint="BF"/>
    </w:rPr>
  </w:style>
  <w:style w:type="paragraph" w:styleId="Listenabsatz">
    <w:name w:val="List Paragraph"/>
    <w:basedOn w:val="Standard"/>
    <w:uiPriority w:val="34"/>
    <w:qFormat/>
    <w:rsid w:val="006D7DC4"/>
    <w:pPr>
      <w:ind w:left="720"/>
      <w:contextualSpacing/>
    </w:pPr>
  </w:style>
  <w:style w:type="character" w:styleId="IntensiveHervorhebung">
    <w:name w:val="Intense Emphasis"/>
    <w:basedOn w:val="Absatz-Standardschriftart"/>
    <w:uiPriority w:val="21"/>
    <w:qFormat/>
    <w:rsid w:val="006D7DC4"/>
    <w:rPr>
      <w:i/>
      <w:iCs/>
      <w:color w:val="0F4761" w:themeColor="accent1" w:themeShade="BF"/>
    </w:rPr>
  </w:style>
  <w:style w:type="paragraph" w:styleId="IntensivesZitat">
    <w:name w:val="Intense Quote"/>
    <w:basedOn w:val="Standard"/>
    <w:next w:val="Standard"/>
    <w:link w:val="IntensivesZitatZchn"/>
    <w:uiPriority w:val="30"/>
    <w:qFormat/>
    <w:rsid w:val="006D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7DC4"/>
    <w:rPr>
      <w:i/>
      <w:iCs/>
      <w:color w:val="0F4761" w:themeColor="accent1" w:themeShade="BF"/>
    </w:rPr>
  </w:style>
  <w:style w:type="character" w:styleId="IntensiverVerweis">
    <w:name w:val="Intense Reference"/>
    <w:basedOn w:val="Absatz-Standardschriftart"/>
    <w:uiPriority w:val="32"/>
    <w:qFormat/>
    <w:rsid w:val="006D7DC4"/>
    <w:rPr>
      <w:b/>
      <w:bCs/>
      <w:smallCaps/>
      <w:color w:val="0F4761" w:themeColor="accent1" w:themeShade="BF"/>
      <w:spacing w:val="5"/>
    </w:rPr>
  </w:style>
  <w:style w:type="character" w:styleId="Fett">
    <w:name w:val="Strong"/>
    <w:basedOn w:val="Absatz-Standardschriftart"/>
    <w:uiPriority w:val="22"/>
    <w:qFormat/>
    <w:rsid w:val="006D7DC4"/>
    <w:rPr>
      <w:b/>
      <w:bCs/>
    </w:rPr>
  </w:style>
  <w:style w:type="paragraph" w:styleId="StandardWeb">
    <w:name w:val="Normal (Web)"/>
    <w:basedOn w:val="Standard"/>
    <w:uiPriority w:val="99"/>
    <w:semiHidden/>
    <w:unhideWhenUsed/>
    <w:rsid w:val="006D7DC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352C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2C88"/>
  </w:style>
  <w:style w:type="paragraph" w:styleId="Fuzeile">
    <w:name w:val="footer"/>
    <w:basedOn w:val="Standard"/>
    <w:link w:val="FuzeileZchn"/>
    <w:uiPriority w:val="99"/>
    <w:unhideWhenUsed/>
    <w:rsid w:val="00352C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7412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Stickl</dc:creator>
  <cp:keywords/>
  <dc:description/>
  <cp:lastModifiedBy>Birgit Bernhard</cp:lastModifiedBy>
  <cp:revision>4</cp:revision>
  <dcterms:created xsi:type="dcterms:W3CDTF">2026-04-23T10:29:00Z</dcterms:created>
  <dcterms:modified xsi:type="dcterms:W3CDTF">2026-04-28T08:59:00Z</dcterms:modified>
</cp:coreProperties>
</file>